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18D1" w14:textId="77777777" w:rsidR="006742E6" w:rsidRPr="00924CC4" w:rsidRDefault="006742E6" w:rsidP="006742E6">
      <w:pPr>
        <w:rPr>
          <w:b/>
          <w:noProof/>
          <w:snapToGrid/>
          <w:sz w:val="24"/>
          <w:szCs w:val="24"/>
          <w:lang w:val="en-GB"/>
        </w:rPr>
      </w:pPr>
      <w:r w:rsidRPr="00A04811">
        <w:rPr>
          <w:noProof/>
          <w:lang w:val="en-US" w:eastAsia="en-US"/>
        </w:rPr>
        <w:drawing>
          <wp:anchor distT="0" distB="0" distL="114300" distR="114300" simplePos="0" relativeHeight="251659776" behindDoc="0" locked="0" layoutInCell="1" allowOverlap="1" wp14:anchorId="5B361C2A" wp14:editId="45E35990">
            <wp:simplePos x="0" y="0"/>
            <wp:positionH relativeFrom="column">
              <wp:posOffset>4558030</wp:posOffset>
            </wp:positionH>
            <wp:positionV relativeFrom="paragraph">
              <wp:posOffset>12065</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b/>
          <w:noProof/>
          <w:snapToGrid/>
          <w:sz w:val="24"/>
          <w:szCs w:val="24"/>
          <w:lang w:val="en-GB"/>
        </w:rPr>
        <w:t>[</w:t>
      </w:r>
      <w:r w:rsidRPr="00924CC4">
        <w:rPr>
          <w:b/>
          <w:noProof/>
          <w:snapToGrid/>
          <w:sz w:val="24"/>
          <w:szCs w:val="24"/>
          <w:highlight w:val="yellow"/>
          <w:lang w:val="en-GB"/>
        </w:rPr>
        <w:t>Logo of your in</w:t>
      </w:r>
      <w:bookmarkStart w:id="0" w:name="_GoBack"/>
      <w:bookmarkEnd w:id="0"/>
      <w:r w:rsidRPr="00924CC4">
        <w:rPr>
          <w:b/>
          <w:noProof/>
          <w:snapToGrid/>
          <w:sz w:val="24"/>
          <w:szCs w:val="24"/>
          <w:highlight w:val="yellow"/>
          <w:lang w:val="en-GB"/>
        </w:rPr>
        <w:t>stitution]</w:t>
      </w:r>
    </w:p>
    <w:p w14:paraId="38100FAC" w14:textId="77777777" w:rsidR="006742E6" w:rsidRDefault="006742E6" w:rsidP="006742E6">
      <w:pPr>
        <w:rPr>
          <w:b/>
          <w:noProof/>
          <w:snapToGrid/>
          <w:sz w:val="24"/>
          <w:szCs w:val="24"/>
          <w:lang w:val="en-GB"/>
        </w:rPr>
      </w:pPr>
    </w:p>
    <w:p w14:paraId="6E093F1C" w14:textId="77777777" w:rsidR="006742E6" w:rsidRDefault="006742E6" w:rsidP="008D7556">
      <w:pPr>
        <w:rPr>
          <w:b/>
          <w:sz w:val="24"/>
          <w:szCs w:val="24"/>
          <w:lang w:val="en-GB"/>
        </w:rPr>
      </w:pPr>
    </w:p>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r w:rsidR="008D7556" w:rsidRPr="008D7556">
        <w:rPr>
          <w:b/>
          <w:sz w:val="24"/>
          <w:szCs w:val="24"/>
          <w:lang w:val="is-IS"/>
        </w:rPr>
        <w:t>taff mobility</w:t>
      </w:r>
      <w:r w:rsidR="00EE7E83">
        <w:rPr>
          <w:b/>
          <w:sz w:val="24"/>
          <w:szCs w:val="24"/>
          <w:lang w:val="is-IS"/>
        </w:rPr>
        <w:t xml:space="preserve"> for teaching and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B" w14:textId="34A93CCD"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182495" w:rsidRPr="003F7055">
        <w:rPr>
          <w:sz w:val="18"/>
          <w:szCs w:val="18"/>
          <w:highlight w:val="cyan"/>
          <w:lang w:val="en-GB"/>
        </w:rPr>
        <w:t>/sending organisation</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NAs/HEIs that should be deleted; yellow code: NA/HEI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77777777" w:rsidR="002E24F7" w:rsidRDefault="002E24F7" w:rsidP="00FA3EEE">
      <w:pPr>
        <w:pBdr>
          <w:bottom w:val="single" w:sz="6" w:space="1" w:color="auto"/>
        </w:pBdr>
        <w:jc w:val="both"/>
        <w:rPr>
          <w:sz w:val="24"/>
          <w:szCs w:val="24"/>
          <w:lang w:val="en-GB"/>
        </w:rPr>
      </w:pPr>
      <w:r w:rsidRPr="002E24F7">
        <w:rPr>
          <w:sz w:val="24"/>
          <w:szCs w:val="24"/>
          <w:lang w:val="en-GB"/>
        </w:rPr>
        <w:t>[</w:t>
      </w:r>
      <w:r w:rsidR="00EE7E83" w:rsidRPr="00EE7E83">
        <w:rPr>
          <w:sz w:val="24"/>
          <w:szCs w:val="24"/>
          <w:highlight w:val="cyan"/>
          <w:lang w:val="en-GB"/>
        </w:rPr>
        <w:t xml:space="preserve">For staff from </w:t>
      </w:r>
      <w:r w:rsidR="00EE7E83">
        <w:rPr>
          <w:sz w:val="24"/>
          <w:szCs w:val="24"/>
          <w:highlight w:val="cyan"/>
          <w:lang w:val="en-GB"/>
        </w:rPr>
        <w:t>HEIs:</w:t>
      </w:r>
      <w:r w:rsidR="00EE7E83">
        <w:rPr>
          <w:sz w:val="24"/>
          <w:szCs w:val="24"/>
          <w:lang w:val="en-GB"/>
        </w:rPr>
        <w:t xml:space="preserve"> </w:t>
      </w:r>
      <w:r w:rsidR="00374255" w:rsidRPr="00EE7E83">
        <w:rPr>
          <w:sz w:val="24"/>
          <w:szCs w:val="24"/>
          <w:highlight w:val="yellow"/>
          <w:lang w:val="en-GB"/>
        </w:rPr>
        <w:t>F</w:t>
      </w:r>
      <w:r w:rsidRPr="00EE7E83">
        <w:rPr>
          <w:sz w:val="24"/>
          <w:szCs w:val="24"/>
          <w:highlight w:val="yellow"/>
          <w:lang w:val="en-GB"/>
        </w:rPr>
        <w:t>ull official name</w:t>
      </w:r>
      <w:r w:rsidR="00374255"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Pr="00EE7E83">
        <w:rPr>
          <w:sz w:val="24"/>
          <w:szCs w:val="24"/>
          <w:highlight w:val="yellow"/>
          <w:lang w:val="en-GB"/>
        </w:rPr>
        <w:t>and Erasmus Code</w:t>
      </w:r>
      <w:r w:rsidR="00374255" w:rsidRPr="00EE7E83">
        <w:rPr>
          <w:sz w:val="24"/>
          <w:szCs w:val="24"/>
          <w:highlight w:val="yellow"/>
          <w:lang w:val="en-GB"/>
        </w:rPr>
        <w:t>, if applicable</w:t>
      </w:r>
      <w:r w:rsidRPr="002E24F7">
        <w:rPr>
          <w:sz w:val="24"/>
          <w:szCs w:val="24"/>
          <w:lang w:val="en-GB"/>
        </w:rPr>
        <w:t>]</w:t>
      </w:r>
      <w:r w:rsidR="00EE7E83">
        <w:rPr>
          <w:sz w:val="24"/>
          <w:szCs w:val="24"/>
          <w:lang w:val="en-GB"/>
        </w:rPr>
        <w:t xml:space="preserve"> [</w:t>
      </w:r>
      <w:r w:rsidR="00EE7E83" w:rsidRPr="00EE7E83">
        <w:rPr>
          <w:sz w:val="24"/>
          <w:szCs w:val="24"/>
          <w:highlight w:val="cyan"/>
          <w:lang w:val="en-GB"/>
        </w:rPr>
        <w:t>For invited staff from enterprises:</w:t>
      </w:r>
      <w:r w:rsidR="00EE7E83">
        <w:rPr>
          <w:sz w:val="24"/>
          <w:szCs w:val="24"/>
          <w:lang w:val="en-GB"/>
        </w:rPr>
        <w:t xml:space="preserve"> </w:t>
      </w:r>
      <w:r w:rsidR="00EE7E83" w:rsidRPr="00EE7E83">
        <w:rPr>
          <w:sz w:val="24"/>
          <w:szCs w:val="24"/>
          <w:highlight w:val="yellow"/>
          <w:lang w:val="en-GB"/>
        </w:rPr>
        <w:t xml:space="preserve">Full official name of the </w:t>
      </w:r>
      <w:r w:rsidR="00EE7E83">
        <w:rPr>
          <w:sz w:val="24"/>
          <w:szCs w:val="24"/>
          <w:highlight w:val="yellow"/>
          <w:lang w:val="en-GB"/>
        </w:rPr>
        <w:t>receiving</w:t>
      </w:r>
      <w:r w:rsidR="00EE7E83" w:rsidRPr="00EE7E83">
        <w:rPr>
          <w:sz w:val="24"/>
          <w:szCs w:val="24"/>
          <w:highlight w:val="yellow"/>
          <w:lang w:val="en-GB"/>
        </w:rPr>
        <w:t xml:space="preserve"> institution</w:t>
      </w:r>
      <w:r w:rsidR="00EE7E83">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D1DA0F" w:rsidR="00374255" w:rsidRDefault="003F7055" w:rsidP="00374255">
      <w:pPr>
        <w:pBdr>
          <w:bottom w:val="single" w:sz="6" w:space="1" w:color="auto"/>
        </w:pBdr>
        <w:rPr>
          <w:sz w:val="24"/>
          <w:szCs w:val="24"/>
          <w:lang w:val="en-GB"/>
        </w:rPr>
      </w:pPr>
      <w:r>
        <w:rPr>
          <w:sz w:val="24"/>
          <w:szCs w:val="24"/>
          <w:lang w:val="en-GB"/>
        </w:rPr>
        <w:t>Dr/</w:t>
      </w:r>
      <w:r w:rsidR="00374255" w:rsidRPr="00374255">
        <w:rPr>
          <w:sz w:val="24"/>
          <w:szCs w:val="24"/>
          <w:lang w:val="en-GB"/>
        </w:rPr>
        <w:t>Mr/</w:t>
      </w:r>
      <w:r>
        <w:rPr>
          <w:sz w:val="24"/>
          <w:szCs w:val="24"/>
          <w:lang w:val="en-GB"/>
        </w:rPr>
        <w:t>Mrs/</w:t>
      </w:r>
      <w:r w:rsidR="00374255" w:rsidRPr="00374255">
        <w:rPr>
          <w:sz w:val="24"/>
          <w:szCs w:val="24"/>
          <w:lang w:val="en-GB"/>
        </w:rPr>
        <w:t xml:space="preserve">Ms </w:t>
      </w:r>
      <w:r w:rsidR="00374255" w:rsidRPr="002E24F7">
        <w:rPr>
          <w:sz w:val="24"/>
          <w:szCs w:val="24"/>
          <w:lang w:val="en-GB"/>
        </w:rPr>
        <w:t>[</w:t>
      </w:r>
      <w:r w:rsidR="00A668C3">
        <w:rPr>
          <w:sz w:val="24"/>
          <w:szCs w:val="24"/>
          <w:lang w:val="en-GB"/>
        </w:rPr>
        <w:t xml:space="preserve">Participant </w:t>
      </w:r>
      <w:r w:rsidR="00374255">
        <w:rPr>
          <w:sz w:val="24"/>
          <w:szCs w:val="24"/>
          <w:lang w:val="en-GB"/>
        </w:rPr>
        <w:t>name</w:t>
      </w:r>
      <w:r w:rsidR="00CC79D5">
        <w:rPr>
          <w:sz w:val="24"/>
          <w:szCs w:val="24"/>
          <w:lang w:val="en-GB"/>
        </w:rPr>
        <w:t>(s)</w:t>
      </w:r>
      <w:r w:rsidR="00374255">
        <w:rPr>
          <w:sz w:val="24"/>
          <w:szCs w:val="24"/>
          <w:lang w:val="en-GB"/>
        </w:rPr>
        <w:t xml:space="preserve"> </w:t>
      </w:r>
      <w:r w:rsidR="00374255" w:rsidRPr="00374255">
        <w:rPr>
          <w:sz w:val="24"/>
          <w:szCs w:val="24"/>
          <w:lang w:val="en-GB"/>
        </w:rPr>
        <w:t>and forename</w:t>
      </w:r>
      <w:r w:rsidR="00CC79D5">
        <w:rPr>
          <w:sz w:val="24"/>
          <w:szCs w:val="24"/>
          <w:lang w:val="en-GB"/>
        </w:rPr>
        <w:t>(s)</w:t>
      </w:r>
      <w:r w:rsidR="00374255"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r w:rsidRPr="00F15541">
        <w:rPr>
          <w:highlight w:val="yellow"/>
          <w:lang w:val="en-GB"/>
        </w:rPr>
        <w:t>..</w:t>
      </w:r>
    </w:p>
    <w:p w14:paraId="65723517" w14:textId="5892FC76"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8A1E85">
        <w:rPr>
          <w:rFonts w:ascii="Verdana" w:hAnsi="Verdana" w:cs="Calibri"/>
          <w:lang w:val="en-GB"/>
        </w:rPr>
        <w:t xml:space="preserve"> </w:t>
      </w:r>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1929A3CF" w:rsidR="00735E06" w:rsidRPr="004F6A0D" w:rsidRDefault="004E5522" w:rsidP="006742E6">
      <w:pPr>
        <w:ind w:left="2552"/>
        <w:rPr>
          <w:rFonts w:ascii="Verdana" w:hAnsi="Verdana" w:cs="Calibri"/>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4F6A0D">
        <w:rPr>
          <w:lang w:val="en-GB"/>
        </w:rPr>
        <w:t xml:space="preserve">a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20" w14:textId="77777777" w:rsidR="00DF0197" w:rsidRPr="00F15541" w:rsidRDefault="00DF0197" w:rsidP="00DF0197">
      <w:pPr>
        <w:rPr>
          <w:lang w:val="en-GB"/>
        </w:rPr>
      </w:pPr>
      <w:r w:rsidRPr="00F15541">
        <w:rPr>
          <w:lang w:val="en-GB"/>
        </w:rPr>
        <w:t>Sex:  [M/F]</w:t>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Academic year: 20</w:t>
      </w:r>
      <w:r w:rsidRPr="00F15541">
        <w:rPr>
          <w:highlight w:val="yellow"/>
          <w:lang w:val="en-GB"/>
        </w:rPr>
        <w:t>..</w:t>
      </w:r>
      <w:r w:rsidRPr="00F15541">
        <w:rPr>
          <w:lang w:val="en-GB"/>
        </w:rPr>
        <w:t>/20</w:t>
      </w:r>
      <w:r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US" w:eastAsia="en-US"/>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B" w14:textId="1DBEB201" w:rsidR="00CC4551" w:rsidRPr="003B594E" w:rsidRDefault="00EE7E83" w:rsidP="00CC4551">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CC4551" w:rsidRPr="003B594E">
        <w:rPr>
          <w:sz w:val="22"/>
          <w:szCs w:val="24"/>
          <w:lang w:val="en-GB"/>
        </w:rPr>
        <w:t>Key Action 1 – HIGHER EDUCATION</w:t>
      </w:r>
    </w:p>
    <w:p w14:paraId="6B07DFEA" w14:textId="04467E57" w:rsidR="006742E6" w:rsidRPr="006742E6" w:rsidRDefault="00CC4551" w:rsidP="006742E6">
      <w:pPr>
        <w:tabs>
          <w:tab w:val="left" w:pos="1701"/>
          <w:tab w:val="left" w:pos="1985"/>
        </w:tabs>
        <w:ind w:left="1701" w:hanging="1701"/>
        <w:rPr>
          <w:b/>
          <w:sz w:val="24"/>
          <w:szCs w:val="24"/>
          <w:lang w:val="is-IS"/>
        </w:rPr>
      </w:pPr>
      <w:r w:rsidRPr="003B594E">
        <w:rPr>
          <w:sz w:val="24"/>
          <w:szCs w:val="24"/>
          <w:lang w:val="is-IS"/>
        </w:rPr>
        <w:tab/>
      </w:r>
      <w:r w:rsidRPr="003B594E">
        <w:rPr>
          <w:sz w:val="24"/>
          <w:szCs w:val="24"/>
          <w:lang w:val="is-IS"/>
        </w:rPr>
        <w:tab/>
      </w:r>
      <w:r w:rsidR="00B4501D" w:rsidRPr="003B594E">
        <w:rPr>
          <w:sz w:val="24"/>
          <w:szCs w:val="24"/>
          <w:lang w:val="is-IS"/>
        </w:rPr>
        <w:t>Staff</w:t>
      </w:r>
      <w:r w:rsidR="00EE7E83" w:rsidRPr="003B594E">
        <w:rPr>
          <w:sz w:val="24"/>
          <w:szCs w:val="24"/>
          <w:lang w:val="is-IS"/>
        </w:rPr>
        <w:t xml:space="preserve"> Mobility Agreement</w:t>
      </w:r>
      <w:r w:rsidR="00EE7E83"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lastRenderedPageBreak/>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2BDF84EF"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E633D7" w:rsidRPr="00D50588">
        <w:rPr>
          <w:highlight w:val="lightGray"/>
          <w:lang w:val="en-GB"/>
        </w:rPr>
        <w:t xml:space="preserve">[for </w:t>
      </w:r>
      <w:r w:rsidR="00E633D7" w:rsidRPr="00E633D7">
        <w:rPr>
          <w:highlight w:val="lightGray"/>
          <w:lang w:val="en-GB"/>
        </w:rPr>
        <w:t>HIGHER EDUCATION</w:t>
      </w:r>
      <w:r w:rsidR="00E633D7" w:rsidRPr="00D50588">
        <w:rPr>
          <w:highlight w:val="lightGray"/>
          <w:lang w:val="en-GB"/>
        </w:rPr>
        <w:t xml:space="preserve"> only</w:t>
      </w:r>
      <w:r w:rsidR="008E567A" w:rsidRPr="00D55643">
        <w:rPr>
          <w:highlight w:val="cyan"/>
          <w:lang w:val="en-GB"/>
        </w:rPr>
        <w:t xml:space="preserve">– </w:t>
      </w:r>
      <w:r w:rsidR="006742E6">
        <w:rPr>
          <w:highlight w:val="cyan"/>
          <w:lang w:val="en-GB"/>
        </w:rPr>
        <w:t>Institution</w:t>
      </w:r>
      <w:r w:rsidR="008E567A" w:rsidRPr="00D55643">
        <w:rPr>
          <w:highlight w:val="cyan"/>
          <w:lang w:val="en-GB"/>
        </w:rPr>
        <w:t xml:space="preserve"> to select if applicable:</w:t>
      </w:r>
      <w:r w:rsidR="00E633D7" w:rsidRPr="00F04690">
        <w:rPr>
          <w:lang w:val="en-GB"/>
        </w:rPr>
        <w:t>]</w:t>
      </w:r>
      <w:r w:rsidR="00E633D7">
        <w:rPr>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EA04C6">
        <w:rPr>
          <w:highlight w:val="yellow"/>
          <w:lang w:val="en-GB"/>
        </w:rPr>
        <w:t>, 1 day per mobility period for invited staff from enterprises for teaching</w:t>
      </w:r>
      <w:r w:rsidR="008E6044">
        <w:rPr>
          <w:highlight w:val="yellow"/>
          <w:lang w:val="en-GB"/>
        </w:rPr>
        <w:t>)</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490A5C1E"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AB150C">
        <w:rPr>
          <w:lang w:val="en-GB"/>
        </w:rPr>
        <w:t>[</w:t>
      </w:r>
      <w:r w:rsidR="002936F5">
        <w:rPr>
          <w:highlight w:val="lightGray"/>
          <w:lang w:val="en-GB"/>
        </w:rPr>
        <w:t>F</w:t>
      </w:r>
      <w:r w:rsidR="00AB150C" w:rsidRPr="00E633D7">
        <w:rPr>
          <w:highlight w:val="lightGray"/>
          <w:lang w:val="en-GB"/>
        </w:rPr>
        <w:t>or teaching mobility</w:t>
      </w:r>
      <w:r w:rsidR="00FA3EEE" w:rsidRPr="00E633D7">
        <w:rPr>
          <w:highlight w:val="lightGray"/>
          <w:lang w:val="en-GB"/>
        </w:rPr>
        <w:t xml:space="preserve"> </w:t>
      </w:r>
      <w:r w:rsidR="001204DC" w:rsidRPr="00E633D7">
        <w:rPr>
          <w:highlight w:val="lightGray"/>
          <w:lang w:val="en-GB"/>
        </w:rPr>
        <w:t xml:space="preserve">for HIGHER EDUCATION </w:t>
      </w:r>
      <w:r w:rsidR="00850CDF" w:rsidRPr="00E633D7">
        <w:rPr>
          <w:highlight w:val="lightGray"/>
          <w:lang w:val="en-GB"/>
        </w:rPr>
        <w:t>only</w:t>
      </w:r>
      <w:r w:rsidR="00AB150C" w:rsidRPr="00FA3EEE">
        <w:rPr>
          <w:highlight w:val="yellow"/>
          <w:lang w:val="en-GB"/>
        </w:rPr>
        <w:t>:</w:t>
      </w:r>
      <w:r w:rsidR="008E6044" w:rsidRPr="008E6044">
        <w:rPr>
          <w:highlight w:val="yellow"/>
          <w:lang w:val="en-GB"/>
        </w:rPr>
        <w:t xml:space="preserve"> </w:t>
      </w:r>
      <w:r w:rsidR="008E6044" w:rsidRPr="008C6FF7">
        <w:rPr>
          <w:highlight w:val="yellow"/>
          <w:lang w:val="en-GB"/>
        </w:rPr>
        <w:t xml:space="preserve">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w:t>
      </w:r>
      <w:r w:rsidR="004C2220">
        <w:rPr>
          <w:highlight w:val="yellow"/>
          <w:lang w:val="en-GB"/>
        </w:rPr>
        <w:t xml:space="preserve"> </w:t>
      </w:r>
      <w:r w:rsidR="008E6044" w:rsidRPr="004C2220">
        <w:rPr>
          <w:highlight w:val="yellow"/>
          <w:lang w:val="en-GB"/>
        </w:rPr>
        <w:t>invited staff from enterprises.</w:t>
      </w:r>
      <w:r w:rsidR="008E6044" w:rsidRPr="008E6044">
        <w:rPr>
          <w:lang w:val="en-GB"/>
        </w:rPr>
        <w:t xml:space="preserve"> </w:t>
      </w:r>
    </w:p>
    <w:p w14:paraId="65723544" w14:textId="39B8BD0C" w:rsidR="00C560D5" w:rsidRPr="00AB150C" w:rsidRDefault="00F42EEF" w:rsidP="007D6067">
      <w:pPr>
        <w:ind w:left="567"/>
        <w:jc w:val="both"/>
        <w:rPr>
          <w:lang w:val="en-GB"/>
        </w:rPr>
      </w:pPr>
      <w:r>
        <w:rPr>
          <w:lang w:val="en-GB"/>
        </w:rPr>
        <w:t>[</w:t>
      </w:r>
      <w:r>
        <w:rPr>
          <w:highlight w:val="cyan"/>
          <w:lang w:val="en-GB"/>
        </w:rPr>
        <w:t>F</w:t>
      </w:r>
      <w:r w:rsidRPr="00AB150C">
        <w:rPr>
          <w:highlight w:val="cyan"/>
          <w:lang w:val="en-GB"/>
        </w:rPr>
        <w:t>or teaching</w:t>
      </w:r>
      <w:r>
        <w:rPr>
          <w:highlight w:val="cyan"/>
          <w:lang w:val="en-GB"/>
        </w:rPr>
        <w:t xml:space="preserve"> mobility</w:t>
      </w:r>
      <w:r w:rsidR="001B56A7">
        <w:rPr>
          <w:highlight w:val="cyan"/>
          <w:lang w:val="en-GB"/>
        </w:rPr>
        <w:t xml:space="preserve"> </w:t>
      </w:r>
      <w:r w:rsidRPr="008C49CF">
        <w:rPr>
          <w:highlight w:val="yellow"/>
          <w:lang w:val="en-GB"/>
        </w:rPr>
        <w:t xml:space="preserve">[The participant </w:t>
      </w:r>
      <w:r>
        <w:rPr>
          <w:highlight w:val="yellow"/>
          <w:lang w:val="en-GB"/>
        </w:rPr>
        <w:t>shall</w:t>
      </w:r>
      <w:r w:rsidRPr="008C49CF">
        <w:rPr>
          <w:highlight w:val="yellow"/>
          <w:lang w:val="en-GB"/>
        </w:rPr>
        <w:t xml:space="preserve"> teach a total of […] hours in [...] days</w:t>
      </w:r>
      <w:r>
        <w:rPr>
          <w:lang w:val="en-GB"/>
        </w:rPr>
        <w:t>]</w:t>
      </w:r>
      <w:r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A50BEB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r w:rsidR="006F20B0">
        <w:rPr>
          <w:highlight w:val="cyan"/>
          <w:lang w:val="en-GB"/>
        </w:rPr>
        <w:t>FOR HE ONLY: for</w:t>
      </w:r>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A5B8A45"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w:t>
      </w:r>
      <w:r w:rsidR="00475044">
        <w:rPr>
          <w:lang w:val="en-GB"/>
        </w:rPr>
        <w:lastRenderedPageBreak/>
        <w:t>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53CBC10A"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Agreement is governed by</w:t>
      </w:r>
      <w:r w:rsidR="006742E6">
        <w:rPr>
          <w:lang w:val="en-GB"/>
        </w:rPr>
        <w:t xml:space="preserve"> the National Laws of the Republic of Cyprus. </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3B594E" w:rsidRDefault="008B311D" w:rsidP="008B311D">
      <w:pPr>
        <w:tabs>
          <w:tab w:val="left" w:pos="1985"/>
        </w:tabs>
        <w:jc w:val="center"/>
        <w:rPr>
          <w:sz w:val="24"/>
          <w:szCs w:val="24"/>
          <w:lang w:val="en-GB"/>
        </w:rPr>
      </w:pPr>
      <w:r w:rsidRPr="003B594E">
        <w:rPr>
          <w:sz w:val="22"/>
          <w:szCs w:val="24"/>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r w:rsidRPr="003B594E">
        <w:rPr>
          <w:b/>
          <w:sz w:val="24"/>
          <w:szCs w:val="24"/>
          <w:lang w:val="is-IS"/>
        </w:rPr>
        <w:t>Staff Mobility Agreement</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7" w14:textId="77777777" w:rsidR="00137EB2" w:rsidRPr="00D00785" w:rsidRDefault="00137EB2">
      <w:pPr>
        <w:tabs>
          <w:tab w:val="left" w:pos="5670"/>
        </w:tabs>
        <w:rPr>
          <w:sz w:val="16"/>
          <w:szCs w:val="16"/>
          <w:lang w:val="is-IS"/>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F03BD8" w:rsidRDefault="00BC384A" w:rsidP="00986E2C">
      <w:pPr>
        <w:tabs>
          <w:tab w:val="left" w:pos="360"/>
        </w:tabs>
        <w:jc w:val="center"/>
        <w:rPr>
          <w:b/>
          <w:lang w:val="fr-BE"/>
        </w:rPr>
      </w:pPr>
      <w:r w:rsidRPr="00F03BD8">
        <w:rPr>
          <w:b/>
          <w:lang w:val="fr-BE"/>
        </w:rPr>
        <w:lastRenderedPageBreak/>
        <w:t>Annex II</w:t>
      </w:r>
    </w:p>
    <w:p w14:paraId="6572357D" w14:textId="77777777" w:rsidR="00BC384A" w:rsidRPr="00F03BD8" w:rsidRDefault="00BC384A" w:rsidP="00986E2C">
      <w:pPr>
        <w:tabs>
          <w:tab w:val="left" w:pos="360"/>
        </w:tabs>
        <w:jc w:val="center"/>
        <w:rPr>
          <w:rFonts w:ascii="Arial" w:hAnsi="Arial"/>
          <w:b/>
          <w:lang w:val="fr-BE"/>
        </w:rPr>
      </w:pPr>
    </w:p>
    <w:p w14:paraId="6572357E" w14:textId="77777777" w:rsidR="00986E2C" w:rsidRPr="00F03BD8" w:rsidRDefault="00986E2C" w:rsidP="00986E2C">
      <w:pPr>
        <w:tabs>
          <w:tab w:val="left" w:pos="360"/>
        </w:tabs>
        <w:jc w:val="center"/>
        <w:rPr>
          <w:rFonts w:ascii="Arial" w:hAnsi="Arial"/>
          <w:b/>
          <w:lang w:val="fr-BE"/>
        </w:rPr>
      </w:pPr>
    </w:p>
    <w:p w14:paraId="6572357F" w14:textId="77777777" w:rsidR="00137EB2" w:rsidRPr="00F03BD8" w:rsidRDefault="00137EB2" w:rsidP="00137EB2">
      <w:pPr>
        <w:tabs>
          <w:tab w:val="left" w:pos="360"/>
        </w:tabs>
        <w:jc w:val="center"/>
        <w:rPr>
          <w:b/>
          <w:sz w:val="24"/>
          <w:szCs w:val="24"/>
          <w:lang w:val="fr-BE"/>
        </w:rPr>
      </w:pPr>
      <w:r w:rsidRPr="00F03BD8">
        <w:rPr>
          <w:b/>
          <w:sz w:val="24"/>
          <w:szCs w:val="24"/>
          <w:lang w:val="fr-BE"/>
        </w:rPr>
        <w:t>GENERAL CONDITIONS</w:t>
      </w:r>
    </w:p>
    <w:p w14:paraId="65723580" w14:textId="77777777" w:rsidR="00137EB2" w:rsidRPr="00F03BD8" w:rsidRDefault="00137EB2" w:rsidP="00137EB2">
      <w:pPr>
        <w:tabs>
          <w:tab w:val="left" w:pos="360"/>
        </w:tabs>
        <w:rPr>
          <w:rFonts w:ascii="Arial" w:hAnsi="Arial"/>
          <w:lang w:val="fr-BE"/>
        </w:rPr>
      </w:pPr>
    </w:p>
    <w:p w14:paraId="65723581" w14:textId="77777777" w:rsidR="00137EB2" w:rsidRPr="00F03BD8" w:rsidRDefault="00137EB2" w:rsidP="00137EB2">
      <w:pPr>
        <w:tabs>
          <w:tab w:val="left" w:pos="360"/>
        </w:tabs>
        <w:rPr>
          <w:rFonts w:ascii="Arial" w:hAnsi="Arial"/>
          <w:lang w:val="fr-BE"/>
        </w:rPr>
      </w:pPr>
    </w:p>
    <w:p w14:paraId="65723582" w14:textId="77777777" w:rsidR="00137EB2" w:rsidRPr="00F03BD8" w:rsidRDefault="00137EB2" w:rsidP="00137EB2">
      <w:pPr>
        <w:keepNext/>
        <w:rPr>
          <w:b/>
          <w:sz w:val="18"/>
          <w:szCs w:val="18"/>
          <w:lang w:val="fr-BE"/>
        </w:rPr>
      </w:pPr>
      <w:r w:rsidRPr="00F03BD8">
        <w:rPr>
          <w:b/>
          <w:sz w:val="18"/>
          <w:szCs w:val="18"/>
          <w:lang w:val="fr-BE"/>
        </w:rPr>
        <w:t>Article 1: Liability</w:t>
      </w:r>
    </w:p>
    <w:p w14:paraId="65723583" w14:textId="77777777" w:rsidR="00137EB2" w:rsidRPr="00F03BD8" w:rsidRDefault="00137EB2" w:rsidP="00137EB2">
      <w:pPr>
        <w:keepNext/>
        <w:rPr>
          <w:sz w:val="18"/>
          <w:szCs w:val="18"/>
          <w:lang w:val="fr-BE"/>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516E0ADB" w:rsidR="00137EB2" w:rsidRPr="00FE149C" w:rsidRDefault="00137EB2" w:rsidP="00137EB2">
      <w:pPr>
        <w:jc w:val="both"/>
        <w:rPr>
          <w:sz w:val="18"/>
          <w:szCs w:val="18"/>
          <w:lang w:val="en-GB"/>
        </w:rPr>
      </w:pPr>
      <w:r w:rsidRPr="00D00785">
        <w:rPr>
          <w:sz w:val="18"/>
          <w:szCs w:val="18"/>
          <w:lang w:val="en-GB"/>
        </w:rPr>
        <w:t>The National Agency</w:t>
      </w:r>
      <w:r w:rsidR="003D493D" w:rsidRPr="00D00785">
        <w:rPr>
          <w:sz w:val="18"/>
          <w:szCs w:val="18"/>
          <w:lang w:val="en-GB"/>
        </w:rPr>
        <w:t xml:space="preserve"> of </w:t>
      </w:r>
      <w:r w:rsidR="00D00785" w:rsidRPr="00D00785">
        <w:rPr>
          <w:sz w:val="18"/>
          <w:szCs w:val="18"/>
          <w:lang w:val="en-GB"/>
        </w:rPr>
        <w:t>Cyprus</w:t>
      </w:r>
      <w:r w:rsidRPr="00D00785">
        <w:rPr>
          <w:sz w:val="18"/>
          <w:szCs w:val="18"/>
          <w:lang w:val="en-GB"/>
        </w:rPr>
        <w:t xml:space="preserve">, the European Commission or their staff shall not be held liable in the event of a claim under the </w:t>
      </w:r>
      <w:r w:rsidR="007A4B08" w:rsidRPr="00D00785">
        <w:rPr>
          <w:sz w:val="18"/>
          <w:szCs w:val="18"/>
          <w:lang w:val="en-GB"/>
        </w:rPr>
        <w:t>agreement</w:t>
      </w:r>
      <w:r w:rsidRPr="00D00785">
        <w:rPr>
          <w:sz w:val="18"/>
          <w:szCs w:val="18"/>
          <w:lang w:val="en-GB"/>
        </w:rPr>
        <w:t xml:space="preserve"> relating to any damage caused during the execution</w:t>
      </w:r>
      <w:r w:rsidR="003D493D" w:rsidRPr="00D00785">
        <w:rPr>
          <w:sz w:val="18"/>
          <w:szCs w:val="18"/>
          <w:lang w:val="en-GB"/>
        </w:rPr>
        <w:t xml:space="preserve"> of the </w:t>
      </w:r>
      <w:r w:rsidR="000771D1" w:rsidRPr="00D00785">
        <w:rPr>
          <w:sz w:val="18"/>
          <w:szCs w:val="18"/>
          <w:lang w:val="en-GB"/>
        </w:rPr>
        <w:t>mobility</w:t>
      </w:r>
      <w:r w:rsidR="002D5FD9" w:rsidRPr="00D00785">
        <w:rPr>
          <w:sz w:val="18"/>
          <w:szCs w:val="18"/>
          <w:lang w:val="en-GB"/>
        </w:rPr>
        <w:t xml:space="preserve"> period</w:t>
      </w:r>
      <w:r w:rsidRPr="00D00785">
        <w:rPr>
          <w:sz w:val="18"/>
          <w:szCs w:val="18"/>
          <w:lang w:val="en-GB"/>
        </w:rPr>
        <w:t xml:space="preserve">. Consequently, the National Agency </w:t>
      </w:r>
      <w:r w:rsidR="003D493D" w:rsidRPr="00D00785">
        <w:rPr>
          <w:sz w:val="18"/>
          <w:szCs w:val="18"/>
          <w:lang w:val="en-GB"/>
        </w:rPr>
        <w:t xml:space="preserve">of </w:t>
      </w:r>
      <w:r w:rsidR="00D00785" w:rsidRPr="00D00785">
        <w:rPr>
          <w:sz w:val="18"/>
          <w:szCs w:val="18"/>
          <w:lang w:val="en-GB"/>
        </w:rPr>
        <w:t>Cyprus</w:t>
      </w:r>
      <w:r w:rsidR="003D493D" w:rsidRPr="00D00785">
        <w:rPr>
          <w:sz w:val="18"/>
          <w:szCs w:val="18"/>
          <w:lang w:val="en-GB"/>
        </w:rPr>
        <w:t xml:space="preserve"> </w:t>
      </w:r>
      <w:r w:rsidRPr="00D00785">
        <w:rPr>
          <w:sz w:val="18"/>
          <w:szCs w:val="18"/>
          <w:lang w:val="en-GB"/>
        </w:rPr>
        <w:t>or the European Commission shall not entertain any request for indemnity of reimbursement accompanying</w:t>
      </w:r>
      <w:r w:rsidRPr="00FE149C">
        <w:rPr>
          <w:sz w:val="18"/>
          <w:szCs w:val="18"/>
          <w:lang w:val="en-GB"/>
        </w:rPr>
        <w:t xml:space="preserve">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3D9190A1"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w:t>
      </w:r>
      <w:r w:rsidR="00F03BD8">
        <w:rPr>
          <w:sz w:val="18"/>
          <w:szCs w:val="18"/>
          <w:lang w:val="en-GB"/>
        </w:rPr>
        <w:t xml:space="preserve">and Regulation (EU) 2016/679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3F89792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of</w:t>
      </w:r>
      <w:r w:rsidR="00D00785">
        <w:rPr>
          <w:sz w:val="18"/>
          <w:szCs w:val="18"/>
          <w:lang w:val="en-GB"/>
        </w:rPr>
        <w:t xml:space="preserve"> Cyprus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D00785">
        <w:rPr>
          <w:sz w:val="18"/>
          <w:szCs w:val="18"/>
          <w:lang w:val="en-GB"/>
        </w:rPr>
        <w:t xml:space="preserve">Cyprus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C20F" w14:textId="77777777" w:rsidR="004E5522" w:rsidRDefault="004E5522">
      <w:r>
        <w:separator/>
      </w:r>
    </w:p>
  </w:endnote>
  <w:endnote w:type="continuationSeparator" w:id="0">
    <w:p w14:paraId="26F703DC" w14:textId="77777777" w:rsidR="004E5522" w:rsidRDefault="004E5522">
      <w:r>
        <w:continuationSeparator/>
      </w:r>
    </w:p>
  </w:endnote>
  <w:endnote w:type="continuationNotice" w:id="1">
    <w:p w14:paraId="7925BC35" w14:textId="77777777" w:rsidR="004E5522" w:rsidRDefault="004E5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A1"/>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5" w14:textId="11358E2D"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E35820">
      <w:rPr>
        <w:rStyle w:val="PageNumber"/>
        <w:noProof/>
        <w:szCs w:val="24"/>
      </w:rPr>
      <w:t>2</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A" w14:textId="45135373"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E35820">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89EC5" w14:textId="77777777" w:rsidR="004E5522" w:rsidRDefault="004E5522">
      <w:r>
        <w:separator/>
      </w:r>
    </w:p>
  </w:footnote>
  <w:footnote w:type="continuationSeparator" w:id="0">
    <w:p w14:paraId="2AF25F0D" w14:textId="77777777" w:rsidR="004E5522" w:rsidRDefault="004E5522">
      <w:r>
        <w:continuationSeparator/>
      </w:r>
    </w:p>
  </w:footnote>
  <w:footnote w:type="continuationNotice" w:id="1">
    <w:p w14:paraId="28295C4B" w14:textId="77777777" w:rsidR="004E5522" w:rsidRDefault="004E552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7" w14:textId="4E2BD3D7"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Pr>
        <w:rFonts w:ascii="Arial Narrow" w:hAnsi="Arial Narrow" w:cs="Arial"/>
        <w:sz w:val="18"/>
        <w:szCs w:val="18"/>
        <w:lang w:val="en-GB"/>
      </w:rPr>
      <w:t>201</w:t>
    </w:r>
    <w:r w:rsidR="00D75CA0">
      <w:rPr>
        <w:rFonts w:ascii="Arial Narrow" w:hAnsi="Arial Narrow" w:cs="Arial"/>
        <w:sz w:val="18"/>
        <w:szCs w:val="18"/>
        <w:lang w:val="en-GB"/>
      </w:rPr>
      <w:t>8</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DFD"/>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B594E"/>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E5522"/>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742E6"/>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4977"/>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78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5269"/>
    <w:rsid w:val="00DD0799"/>
    <w:rsid w:val="00DD74E5"/>
    <w:rsid w:val="00DE03FA"/>
    <w:rsid w:val="00DE04AB"/>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820"/>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723509"/>
  <w15:docId w15:val="{CAAA528F-8DAE-494B-A6B6-C882C05FE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B1/B2</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55B1C-C01A-45F4-82A1-7E76532471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444DF48-1192-442D-8062-607C8183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2029</Words>
  <Characters>11571</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elias elia</cp:lastModifiedBy>
  <cp:revision>3</cp:revision>
  <cp:lastPrinted>2014-06-03T10:21:00Z</cp:lastPrinted>
  <dcterms:created xsi:type="dcterms:W3CDTF">2020-12-18T13:00:00Z</dcterms:created>
  <dcterms:modified xsi:type="dcterms:W3CDTF">2020-12-18T13:00:00Z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